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EF6EE" w14:textId="77777777" w:rsidR="005220F4" w:rsidRDefault="005220F4" w:rsidP="005220F4">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0103CC5A" w14:textId="77777777" w:rsidR="005220F4" w:rsidRDefault="005220F4" w:rsidP="005220F4">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09C33B8A" w14:textId="77777777" w:rsidR="005220F4" w:rsidRDefault="005220F4" w:rsidP="005220F4">
      <w:pPr>
        <w:widowControl w:val="0"/>
        <w:bidi/>
        <w:spacing w:after="0"/>
        <w:jc w:val="center"/>
        <w:rPr>
          <w:rFonts w:cs="B Mitra" w:hint="cs"/>
          <w:b/>
          <w:bCs/>
          <w:sz w:val="32"/>
          <w:szCs w:val="32"/>
          <w:rtl/>
          <w:lang w:bidi="fa-IR"/>
        </w:rPr>
      </w:pPr>
      <w:r>
        <w:rPr>
          <w:rFonts w:cs="B Mitra" w:hint="cs"/>
          <w:b/>
          <w:bCs/>
          <w:sz w:val="32"/>
          <w:szCs w:val="32"/>
          <w:rtl/>
          <w:lang w:bidi="fa-IR"/>
        </w:rPr>
        <w:t>جلسه 816</w:t>
      </w:r>
    </w:p>
    <w:p w14:paraId="21CFE25F" w14:textId="77777777" w:rsidR="005220F4" w:rsidRDefault="005220F4" w:rsidP="005220F4">
      <w:pPr>
        <w:widowControl w:val="0"/>
        <w:bidi/>
        <w:spacing w:after="0" w:line="252" w:lineRule="auto"/>
        <w:ind w:firstLine="284"/>
        <w:jc w:val="both"/>
        <w:rPr>
          <w:rFonts w:cs="Abz-2 (Badr)" w:hint="cs"/>
          <w:sz w:val="28"/>
          <w:szCs w:val="28"/>
          <w:rtl/>
          <w:lang w:bidi="fa-IR"/>
        </w:rPr>
      </w:pPr>
      <w:bookmarkStart w:id="0" w:name="_Hlk159096966"/>
    </w:p>
    <w:p w14:paraId="3F2C0F32" w14:textId="77777777" w:rsidR="005220F4" w:rsidRDefault="005220F4" w:rsidP="005220F4">
      <w:pPr>
        <w:widowControl w:val="0"/>
        <w:bidi/>
        <w:spacing w:after="0" w:line="244" w:lineRule="auto"/>
        <w:ind w:firstLine="284"/>
        <w:jc w:val="both"/>
        <w:rPr>
          <w:rFonts w:cs="Abz-2 (Badr)" w:hint="cs"/>
          <w:color w:val="0070C0"/>
          <w:sz w:val="28"/>
          <w:szCs w:val="28"/>
          <w:rtl/>
          <w:lang w:bidi="fa-IR"/>
        </w:rPr>
      </w:pPr>
      <w:r>
        <w:rPr>
          <w:rFonts w:cs="Abz-2 (Badr)" w:hint="cs"/>
          <w:sz w:val="28"/>
          <w:szCs w:val="28"/>
          <w:rtl/>
          <w:lang w:bidi="fa-IR"/>
        </w:rPr>
        <w:t>صاحب رياض در پاسخ به وجود احتمال مذکور در کلمات شهيد ثانی که جلسه قبل آن را مطرح کرديم، می</w:t>
      </w:r>
      <w:r>
        <w:rPr>
          <w:rFonts w:cs="Abz-2 (Badr)" w:hint="cs"/>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الخبران بالسقوط في المزوّجة ظاهران في حياة الأب جدّاً، والاشتغال بحقوق الزوج غير كافٍ‌ للإسقاط قطعاً.»</w:t>
      </w:r>
      <w:r>
        <w:rPr>
          <w:rStyle w:val="FootnoteReference"/>
          <w:rFonts w:cs="Abz-2 (Badr)"/>
          <w:rtl/>
          <w:lang w:bidi="ar"/>
        </w:rPr>
        <w:footnoteReference w:id="1"/>
      </w:r>
    </w:p>
    <w:p w14:paraId="184FC799" w14:textId="77777777" w:rsidR="005220F4" w:rsidRDefault="005220F4" w:rsidP="005220F4">
      <w:pPr>
        <w:widowControl w:val="0"/>
        <w:bidi/>
        <w:spacing w:after="0"/>
        <w:ind w:firstLine="284"/>
        <w:jc w:val="both"/>
        <w:rPr>
          <w:rFonts w:cs="Abz-2 (Badr)" w:hint="cs"/>
          <w:spacing w:val="-2"/>
          <w:sz w:val="28"/>
          <w:szCs w:val="28"/>
          <w:rtl/>
          <w:lang w:bidi="fa-IR"/>
        </w:rPr>
      </w:pPr>
      <w:r>
        <w:rPr>
          <w:rFonts w:cs="Abz-2 (Badr)" w:hint="cs"/>
          <w:spacing w:val="-2"/>
          <w:sz w:val="28"/>
          <w:szCs w:val="28"/>
          <w:rtl/>
          <w:lang w:bidi="fa-IR"/>
        </w:rPr>
        <w:t>مراد ايشان از دو خبری که دلالت بر سقوط حق مادر در حضانت فرزند بعد از نکاح وی می</w:t>
      </w:r>
      <w:r>
        <w:rPr>
          <w:rFonts w:cs="Abz-2 (Badr)" w:hint="cs"/>
          <w:spacing w:val="-2"/>
          <w:sz w:val="28"/>
          <w:szCs w:val="28"/>
          <w:rtl/>
          <w:lang w:bidi="fa-IR"/>
        </w:rPr>
        <w:softHyphen/>
        <w:t>کنند، مرسله منقری</w:t>
      </w:r>
      <w:r>
        <w:rPr>
          <w:rStyle w:val="FootnoteReference"/>
          <w:rFonts w:cs="Abz-2 (Badr)"/>
          <w:spacing w:val="-2"/>
          <w:sz w:val="28"/>
          <w:szCs w:val="28"/>
          <w:rtl/>
          <w:lang w:bidi="ar"/>
        </w:rPr>
        <w:footnoteReference w:id="2"/>
      </w:r>
      <w:r>
        <w:rPr>
          <w:rFonts w:cs="Abz-2 (Badr)" w:hint="cs"/>
          <w:spacing w:val="-2"/>
          <w:sz w:val="28"/>
          <w:szCs w:val="28"/>
          <w:rtl/>
          <w:lang w:bidi="fa-IR"/>
        </w:rPr>
        <w:t xml:space="preserve"> و معتبره داود رقی</w:t>
      </w:r>
      <w:r>
        <w:rPr>
          <w:rStyle w:val="FootnoteReference"/>
          <w:rFonts w:cs="Abz-2 (Badr)"/>
          <w:spacing w:val="-2"/>
          <w:sz w:val="28"/>
          <w:szCs w:val="28"/>
          <w:rtl/>
          <w:lang w:bidi="ar"/>
        </w:rPr>
        <w:footnoteReference w:id="3"/>
      </w:r>
      <w:r>
        <w:rPr>
          <w:rFonts w:cs="Abz-2 (Badr)" w:hint="cs"/>
          <w:spacing w:val="-2"/>
          <w:sz w:val="28"/>
          <w:szCs w:val="28"/>
          <w:rtl/>
          <w:lang w:bidi="fa-IR"/>
        </w:rPr>
        <w:t xml:space="preserve"> است و همان گونه که ايشان فرموده</w:t>
      </w:r>
      <w:r>
        <w:rPr>
          <w:rFonts w:cs="Abz-2 (Badr)" w:hint="cs"/>
          <w:spacing w:val="-2"/>
          <w:sz w:val="28"/>
          <w:szCs w:val="28"/>
          <w:rtl/>
          <w:lang w:bidi="fa-IR"/>
        </w:rPr>
        <w:softHyphen/>
        <w:t>اند، اين دو روايت ظهور در تقدّم حق پدر بر مادر در حضانت فرزند در صورت نکاح مادر دارند و نمی</w:t>
      </w:r>
      <w:r>
        <w:rPr>
          <w:rFonts w:cs="Abz-2 (Badr)" w:hint="cs"/>
          <w:spacing w:val="-2"/>
          <w:sz w:val="28"/>
          <w:szCs w:val="28"/>
          <w:rtl/>
          <w:lang w:bidi="fa-IR"/>
        </w:rPr>
        <w:softHyphen/>
        <w:t>توان به واسطه آنها دست از اطلاق صحيحه ابن سنان و موثقه داود بن الحصين برداشت.</w:t>
      </w:r>
    </w:p>
    <w:p w14:paraId="47A8ECE2" w14:textId="77777777" w:rsidR="005220F4" w:rsidRDefault="005220F4" w:rsidP="005220F4">
      <w:pPr>
        <w:widowControl w:val="0"/>
        <w:bidi/>
        <w:spacing w:after="0"/>
        <w:ind w:firstLine="284"/>
        <w:jc w:val="both"/>
        <w:rPr>
          <w:rFonts w:cs="Abz-2 (Badr)" w:hint="cs"/>
          <w:sz w:val="28"/>
          <w:szCs w:val="28"/>
          <w:rtl/>
          <w:lang w:bidi="fa-IR"/>
        </w:rPr>
      </w:pPr>
      <w:r>
        <w:rPr>
          <w:rFonts w:cs="Abz-2 (Badr)" w:hint="cs"/>
          <w:sz w:val="28"/>
          <w:szCs w:val="28"/>
          <w:rtl/>
          <w:lang w:bidi="fa-IR"/>
        </w:rPr>
        <w:t>استدلال به لزوم اشتغال مادر به حقوق زوجيت برای نفی تقدّم وی در صورت نکاح نيز استدلال تمامی نيست، زيرا معلوم است که حق حضانت مادر يا پدر در جايی است که قدرت بر حضانت فرزند را دارا باشند، و چنانچه به هر جهت فاقد چنين قدرتی باشند، حقی برای حضانت فرزند نخواهند داشت.</w:t>
      </w:r>
    </w:p>
    <w:p w14:paraId="36946BB3" w14:textId="77777777" w:rsidR="005220F4" w:rsidRDefault="005220F4" w:rsidP="005220F4">
      <w:pPr>
        <w:widowControl w:val="0"/>
        <w:bidi/>
        <w:spacing w:after="0"/>
        <w:ind w:firstLine="284"/>
        <w:jc w:val="both"/>
        <w:rPr>
          <w:rFonts w:cs="Abz-2 (Badr)" w:hint="cs"/>
          <w:sz w:val="28"/>
          <w:szCs w:val="28"/>
          <w:rtl/>
          <w:lang w:bidi="fa-IR"/>
        </w:rPr>
      </w:pPr>
      <w:r>
        <w:rPr>
          <w:rFonts w:cs="Abz-2 (Badr)" w:hint="cs"/>
          <w:sz w:val="28"/>
          <w:szCs w:val="28"/>
          <w:rtl/>
          <w:lang w:bidi="fa-IR"/>
        </w:rPr>
        <w:t>در نتيجه در صورت مرگ پدر، مادر مطلقاً برای حضانت فرزند مقدّم بر ديگران خواهد بود.</w:t>
      </w:r>
    </w:p>
    <w:p w14:paraId="76F48472" w14:textId="77777777" w:rsidR="005220F4" w:rsidRDefault="005220F4" w:rsidP="005220F4">
      <w:pPr>
        <w:pStyle w:val="NormalWeb"/>
        <w:widowControl w:val="0"/>
        <w:bidi/>
        <w:spacing w:before="0" w:beforeAutospacing="0" w:after="0" w:afterAutospacing="0" w:line="252" w:lineRule="auto"/>
        <w:ind w:firstLine="284"/>
        <w:jc w:val="both"/>
        <w:rPr>
          <w:rFonts w:cs="Abz-2 (Badr)" w:hint="cs"/>
          <w:color w:val="FF0000"/>
          <w:sz w:val="28"/>
          <w:szCs w:val="28"/>
          <w:rtl/>
          <w:lang w:bidi="fa-IR"/>
        </w:rPr>
      </w:pPr>
      <w:bookmarkStart w:id="1" w:name="_Hlk196738198"/>
      <w:r>
        <w:rPr>
          <w:rFonts w:cs="Abz-2 (Badr)" w:hint="cs"/>
          <w:color w:val="FF0000"/>
          <w:sz w:val="28"/>
          <w:szCs w:val="28"/>
          <w:rtl/>
          <w:lang w:bidi="fa-IR"/>
        </w:rPr>
        <w:t>مورد دوم: رقيت يا کفر پدر</w:t>
      </w:r>
    </w:p>
    <w:p w14:paraId="1D8A0220" w14:textId="77777777" w:rsidR="005220F4" w:rsidRDefault="005220F4" w:rsidP="005220F4">
      <w:pPr>
        <w:pStyle w:val="NormalWeb"/>
        <w:widowControl w:val="0"/>
        <w:bidi/>
        <w:spacing w:before="0" w:beforeAutospacing="0" w:after="0" w:afterAutospacing="0" w:line="256" w:lineRule="auto"/>
        <w:ind w:firstLine="284"/>
        <w:jc w:val="both"/>
        <w:rPr>
          <w:rFonts w:cs="Abz-2 (Badr)" w:hint="cs"/>
          <w:sz w:val="28"/>
          <w:szCs w:val="28"/>
          <w:rtl/>
          <w:lang w:bidi="fa-IR"/>
        </w:rPr>
      </w:pPr>
      <w:r>
        <w:rPr>
          <w:rFonts w:cs="Abz-2 (Badr)" w:hint="cs"/>
          <w:sz w:val="28"/>
          <w:szCs w:val="28"/>
          <w:rtl/>
          <w:lang w:bidi="fa-IR"/>
        </w:rPr>
        <w:t>اگر پدر رقّ يا کافر باشد، حق حضانت بر فرزند را دارا نخواهد بود و حضانت به مادر خواهد رسيد، ولو مادر ازدواج کرده باشد.</w:t>
      </w:r>
    </w:p>
    <w:p w14:paraId="52805114" w14:textId="77777777" w:rsidR="005220F4" w:rsidRDefault="005220F4" w:rsidP="005220F4">
      <w:pPr>
        <w:pStyle w:val="NormalWeb"/>
        <w:widowControl w:val="0"/>
        <w:bidi/>
        <w:spacing w:before="0" w:beforeAutospacing="0" w:after="0" w:afterAutospacing="0" w:line="256" w:lineRule="auto"/>
        <w:ind w:firstLine="284"/>
        <w:jc w:val="both"/>
        <w:rPr>
          <w:rFonts w:cs="Abz-2 (Badr)" w:hint="cs"/>
          <w:sz w:val="28"/>
          <w:szCs w:val="28"/>
          <w:rtl/>
          <w:lang w:bidi="fa-IR"/>
        </w:rPr>
      </w:pPr>
      <w:r>
        <w:rPr>
          <w:rFonts w:cs="Abz-2 (Badr)" w:hint="cs"/>
          <w:sz w:val="28"/>
          <w:szCs w:val="28"/>
          <w:rtl/>
          <w:lang w:bidi="fa-IR"/>
        </w:rPr>
        <w:t xml:space="preserve">دليلی که در خصوص حالت رقّيّت پدر وجود دارد، معتبره داود رقّی است که سابقاً گذشت و در آن آمده است: </w:t>
      </w:r>
      <w:r>
        <w:rPr>
          <w:rFonts w:cs="Abz-2 (Badr)" w:hint="cs"/>
          <w:color w:val="00B0F0"/>
          <w:spacing w:val="-2"/>
          <w:sz w:val="28"/>
          <w:szCs w:val="28"/>
          <w:rtl/>
          <w:lang w:bidi="ar"/>
        </w:rPr>
        <w:lastRenderedPageBreak/>
        <w:t>«...ليس للعبد أن يأخذ منها ولدها وإن تزوّجت حتّى يعتق، هي أحقّ بولدها منه مادام مملوكاً، فإذا أُعتق فهو أحقّ بهم منها.»</w:t>
      </w:r>
      <w:r>
        <w:rPr>
          <w:rStyle w:val="FootnoteReference"/>
          <w:rFonts w:cs="Abz-2 (Badr)"/>
          <w:sz w:val="28"/>
          <w:szCs w:val="28"/>
          <w:rtl/>
          <w:lang w:bidi="ar"/>
        </w:rPr>
        <w:footnoteReference w:id="4"/>
      </w:r>
    </w:p>
    <w:p w14:paraId="1FB342BC" w14:textId="77777777" w:rsidR="005220F4" w:rsidRDefault="005220F4" w:rsidP="005220F4">
      <w:pPr>
        <w:pStyle w:val="NormalWeb"/>
        <w:widowControl w:val="0"/>
        <w:bidi/>
        <w:spacing w:before="0" w:beforeAutospacing="0" w:after="0" w:afterAutospacing="0" w:line="256" w:lineRule="auto"/>
        <w:ind w:firstLine="284"/>
        <w:jc w:val="both"/>
        <w:rPr>
          <w:rFonts w:cs="Abz-2 (Badr)" w:hint="cs"/>
          <w:color w:val="00B0F0"/>
          <w:sz w:val="28"/>
          <w:szCs w:val="28"/>
          <w:rtl/>
          <w:lang w:bidi="ar"/>
        </w:rPr>
      </w:pPr>
      <w:r>
        <w:rPr>
          <w:rFonts w:cs="Abz-2 (Badr)" w:hint="cs"/>
          <w:sz w:val="28"/>
          <w:szCs w:val="28"/>
          <w:rtl/>
          <w:lang w:bidi="fa-IR"/>
        </w:rPr>
        <w:t xml:space="preserve">همچنين در صحيحه </w:t>
      </w:r>
      <w:r>
        <w:rPr>
          <w:rFonts w:cs="Abz-2 (Badr)" w:hint="cs"/>
          <w:sz w:val="28"/>
          <w:szCs w:val="28"/>
          <w:rtl/>
          <w:lang w:bidi="ar"/>
        </w:rPr>
        <w:t xml:space="preserve">فضيل بن يسار نيز آمده است‌: </w:t>
      </w:r>
      <w:r>
        <w:rPr>
          <w:rFonts w:cs="Abz-2 (Badr)" w:hint="cs"/>
          <w:color w:val="00B0F0"/>
          <w:sz w:val="28"/>
          <w:szCs w:val="28"/>
          <w:rtl/>
          <w:lang w:bidi="ar"/>
        </w:rPr>
        <w:t>«أيّما امرأة حرّة تزوّجت عبداً فولدت منه أولاداً، فهي أحقّ بولدها منه وهم أحرار، فإذا أُعتق الرجل فهو أحقّ بولده منها لموضع الأب.»</w:t>
      </w:r>
      <w:r>
        <w:rPr>
          <w:rStyle w:val="FootnoteReference"/>
          <w:rFonts w:cs="Abz-2 (Badr)"/>
          <w:sz w:val="28"/>
          <w:szCs w:val="28"/>
          <w:rtl/>
          <w:lang w:bidi="ar"/>
        </w:rPr>
        <w:footnoteReference w:id="5"/>
      </w:r>
    </w:p>
    <w:p w14:paraId="3B13F14D" w14:textId="77777777" w:rsidR="005220F4" w:rsidRDefault="005220F4" w:rsidP="005220F4">
      <w:pPr>
        <w:pStyle w:val="NormalWeb"/>
        <w:widowControl w:val="0"/>
        <w:bidi/>
        <w:spacing w:before="0" w:beforeAutospacing="0" w:after="0" w:afterAutospacing="0" w:line="256" w:lineRule="auto"/>
        <w:ind w:firstLine="284"/>
        <w:jc w:val="both"/>
        <w:rPr>
          <w:rFonts w:cs="Abz-2 (Badr)" w:hint="cs"/>
          <w:sz w:val="28"/>
          <w:szCs w:val="28"/>
          <w:rtl/>
          <w:lang w:bidi="fa-IR"/>
        </w:rPr>
      </w:pPr>
      <w:r>
        <w:rPr>
          <w:rFonts w:cs="Abz-2 (Badr)" w:hint="cs"/>
          <w:sz w:val="28"/>
          <w:szCs w:val="28"/>
          <w:rtl/>
          <w:lang w:bidi="fa-IR"/>
        </w:rPr>
        <w:t>و بر اساس اين دو روايت، چنانچه پدر از رقّيّت خارج شده و آزاد شود، واجد حق حضانت خواهد شد.</w:t>
      </w:r>
    </w:p>
    <w:p w14:paraId="071CE9FF" w14:textId="77777777" w:rsidR="005220F4" w:rsidRDefault="005220F4" w:rsidP="005220F4">
      <w:pPr>
        <w:pStyle w:val="NormalWeb"/>
        <w:widowControl w:val="0"/>
        <w:bidi/>
        <w:spacing w:before="0" w:beforeAutospacing="0" w:after="0" w:afterAutospacing="0" w:line="252" w:lineRule="auto"/>
        <w:ind w:firstLine="284"/>
        <w:jc w:val="both"/>
        <w:rPr>
          <w:rFonts w:cs="Abz-2 (Badr)" w:hint="cs"/>
          <w:sz w:val="28"/>
          <w:szCs w:val="28"/>
          <w:rtl/>
          <w:lang w:bidi="fa-IR"/>
        </w:rPr>
      </w:pPr>
      <w:r>
        <w:rPr>
          <w:rFonts w:cs="Abz-2 (Badr)" w:hint="cs"/>
          <w:sz w:val="28"/>
          <w:szCs w:val="28"/>
          <w:rtl/>
          <w:lang w:bidi="fa-IR"/>
        </w:rPr>
        <w:t>اما در خصوص پدر کافر، روايتی وارد نشده است و صاحب مسالك وجه حکم مذکور در کافر را اولوليت مستفاد از اخبار وارد شده در عبد می</w:t>
      </w:r>
      <w:r>
        <w:rPr>
          <w:rFonts w:cs="Abz-2 (Badr)" w:hint="cs"/>
          <w:sz w:val="28"/>
          <w:szCs w:val="28"/>
          <w:rtl/>
          <w:lang w:bidi="fa-IR"/>
        </w:rPr>
        <w:softHyphen/>
        <w:t>داند، زيرا مانعيت کفر برای حضانت اقوی از مانعيت رقّيّت است.</w:t>
      </w:r>
      <w:r>
        <w:rPr>
          <w:rStyle w:val="FootnoteReference"/>
          <w:rFonts w:cs="Abz-2 (Badr)"/>
          <w:rtl/>
          <w:lang w:bidi="ar"/>
        </w:rPr>
        <w:footnoteReference w:id="6"/>
      </w:r>
    </w:p>
    <w:p w14:paraId="7B499900" w14:textId="77777777" w:rsidR="005220F4" w:rsidRDefault="005220F4" w:rsidP="005220F4">
      <w:pPr>
        <w:pStyle w:val="NormalWeb"/>
        <w:widowControl w:val="0"/>
        <w:bidi/>
        <w:spacing w:before="0" w:beforeAutospacing="0" w:after="0" w:afterAutospacing="0" w:line="252" w:lineRule="auto"/>
        <w:ind w:firstLine="284"/>
        <w:jc w:val="both"/>
        <w:rPr>
          <w:rFonts w:cs="Abz-2 (Badr)" w:hint="cs"/>
          <w:sz w:val="28"/>
          <w:szCs w:val="28"/>
          <w:rtl/>
          <w:lang w:bidi="fa-IR"/>
        </w:rPr>
      </w:pPr>
      <w:r>
        <w:rPr>
          <w:rFonts w:cs="Abz-2 (Badr)" w:hint="cs"/>
          <w:sz w:val="28"/>
          <w:szCs w:val="28"/>
          <w:rtl/>
          <w:lang w:bidi="fa-IR"/>
        </w:rPr>
        <w:t xml:space="preserve">صاحب جواهر نيز در خصوص کافر فرموده است: </w:t>
      </w:r>
      <w:r>
        <w:rPr>
          <w:rFonts w:cs="Abz-2 (Badr)" w:hint="cs"/>
          <w:color w:val="0070C0"/>
          <w:sz w:val="28"/>
          <w:szCs w:val="28"/>
          <w:rtl/>
          <w:lang w:bidi="fa-IR"/>
        </w:rPr>
        <w:t>«</w:t>
      </w:r>
      <w:r>
        <w:rPr>
          <w:rFonts w:cs="Abz-2 (Badr)" w:hint="cs"/>
          <w:color w:val="0070C0"/>
          <w:sz w:val="28"/>
          <w:szCs w:val="28"/>
          <w:rtl/>
          <w:lang w:bidi="ar"/>
        </w:rPr>
        <w:t>وأمّا الكافر فإنّه وإن لم يكن فيه نصّ إلا أنّ من المعلوم عدم ولايته على المسلم وعدم معارضته له، لأنّ «الإسلام يعلو ولا يعلى عليه»، فهو حينئذٍ أنقص من المملوك بالنسبة إلى ذلك، فيكون أولى منه بالحكم المزبور.»</w:t>
      </w:r>
      <w:r>
        <w:rPr>
          <w:rStyle w:val="FootnoteReference"/>
          <w:rFonts w:cs="Abz-2 (Badr)"/>
          <w:rtl/>
          <w:lang w:bidi="ar"/>
        </w:rPr>
        <w:footnoteReference w:id="7"/>
      </w:r>
    </w:p>
    <w:p w14:paraId="517F8C23" w14:textId="77777777" w:rsidR="005220F4" w:rsidRDefault="005220F4" w:rsidP="005220F4">
      <w:pPr>
        <w:pStyle w:val="NormalWeb"/>
        <w:widowControl w:val="0"/>
        <w:bidi/>
        <w:spacing w:before="0" w:beforeAutospacing="0" w:after="0" w:afterAutospacing="0" w:line="252" w:lineRule="auto"/>
        <w:ind w:firstLine="284"/>
        <w:jc w:val="both"/>
        <w:rPr>
          <w:rFonts w:cs="Abz-2 (Badr)" w:hint="cs"/>
          <w:sz w:val="28"/>
          <w:szCs w:val="28"/>
          <w:rtl/>
          <w:lang w:bidi="fa-IR"/>
        </w:rPr>
      </w:pPr>
      <w:r>
        <w:rPr>
          <w:rFonts w:cs="Abz-2 (Badr)" w:hint="cs"/>
          <w:sz w:val="28"/>
          <w:szCs w:val="28"/>
          <w:rtl/>
          <w:lang w:bidi="fa-IR"/>
        </w:rPr>
        <w:t>اگر مراد ايشان از عدم ولايت کافر بر مسلم اين باشد که چون حضانت نوعی ولايت است و پدر کافر بر فرزند مسلمان خود ولايت ندارد، پس حق حضانت نيز نخواهد داشت، اشکال آن از مطالبی که سابقاً گذشت و گفتيم که حضانت سبب ولايت حاضن بر محضون نمی</w:t>
      </w:r>
      <w:r>
        <w:rPr>
          <w:rFonts w:cs="Abz-2 (Badr)" w:hint="cs"/>
          <w:sz w:val="28"/>
          <w:szCs w:val="28"/>
          <w:rtl/>
          <w:lang w:bidi="fa-IR"/>
        </w:rPr>
        <w:softHyphen/>
        <w:t>شود، معلوم می</w:t>
      </w:r>
      <w:r>
        <w:rPr>
          <w:rFonts w:cs="Abz-2 (Badr)" w:hint="cs"/>
          <w:sz w:val="28"/>
          <w:szCs w:val="28"/>
          <w:rtl/>
          <w:lang w:bidi="fa-IR"/>
        </w:rPr>
        <w:softHyphen/>
        <w:t>شود.</w:t>
      </w:r>
    </w:p>
    <w:p w14:paraId="252FED5D" w14:textId="77777777" w:rsidR="005220F4" w:rsidRDefault="005220F4" w:rsidP="005220F4">
      <w:pPr>
        <w:pStyle w:val="NormalWeb"/>
        <w:widowControl w:val="0"/>
        <w:bidi/>
        <w:spacing w:before="0" w:beforeAutospacing="0" w:after="0" w:afterAutospacing="0" w:line="252" w:lineRule="auto"/>
        <w:ind w:firstLine="284"/>
        <w:jc w:val="both"/>
        <w:rPr>
          <w:rFonts w:cs="Abz-2 (Badr)" w:hint="cs"/>
          <w:sz w:val="28"/>
          <w:szCs w:val="28"/>
          <w:rtl/>
          <w:lang w:bidi="fa-IR"/>
        </w:rPr>
      </w:pPr>
      <w:r>
        <w:rPr>
          <w:rFonts w:cs="Abz-2 (Badr)" w:hint="cs"/>
          <w:sz w:val="28"/>
          <w:szCs w:val="28"/>
          <w:rtl/>
          <w:lang w:bidi="fa-IR"/>
        </w:rPr>
        <w:t>اما اگر منظور اين باشد که تقديم پدر بر مادر در حضانت سبب می</w:t>
      </w:r>
      <w:r>
        <w:rPr>
          <w:rFonts w:cs="Abz-2 (Badr)" w:hint="cs"/>
          <w:sz w:val="28"/>
          <w:szCs w:val="28"/>
          <w:rtl/>
          <w:lang w:bidi="fa-IR"/>
        </w:rPr>
        <w:softHyphen/>
        <w:t>شود که پدر بر مادر برتری يافته و اين مطلب منافات با آيه شريفه و نيز روايت نبوی(ص) دارد، اين مطلب دارای وجه است.</w:t>
      </w:r>
    </w:p>
    <w:p w14:paraId="3AB1C9AC" w14:textId="77777777" w:rsidR="005220F4" w:rsidRDefault="005220F4" w:rsidP="005220F4">
      <w:pPr>
        <w:pStyle w:val="NormalWeb"/>
        <w:widowControl w:val="0"/>
        <w:bidi/>
        <w:spacing w:before="0" w:beforeAutospacing="0" w:after="0" w:afterAutospacing="0" w:line="252" w:lineRule="auto"/>
        <w:ind w:firstLine="284"/>
        <w:jc w:val="both"/>
        <w:rPr>
          <w:rFonts w:cs="Abz-2 (Badr)" w:hint="cs"/>
          <w:sz w:val="28"/>
          <w:szCs w:val="28"/>
          <w:rtl/>
          <w:lang w:bidi="fa-IR"/>
        </w:rPr>
      </w:pPr>
      <w:r>
        <w:rPr>
          <w:rFonts w:cs="Abz-2 (Badr)" w:hint="cs"/>
          <w:sz w:val="28"/>
          <w:szCs w:val="28"/>
          <w:rtl/>
          <w:lang w:bidi="fa-IR"/>
        </w:rPr>
        <w:t>مؤيد اين مطلب نيز مطلبی است که در بحث شفعه ادعا شده است مبنی بر اين که اگر خريدار مسلمان باشد، شرط شفيع اين است که مسلمان باشد.</w:t>
      </w:r>
    </w:p>
    <w:p w14:paraId="5192B0DD" w14:textId="77777777" w:rsidR="005220F4" w:rsidRDefault="005220F4" w:rsidP="005220F4">
      <w:pPr>
        <w:pStyle w:val="NormalWeb"/>
        <w:widowControl w:val="0"/>
        <w:bidi/>
        <w:spacing w:before="0" w:beforeAutospacing="0" w:after="0" w:afterAutospacing="0" w:line="252" w:lineRule="auto"/>
        <w:ind w:firstLine="284"/>
        <w:jc w:val="both"/>
        <w:rPr>
          <w:rFonts w:cs="Abz-2 (Badr)" w:hint="cs"/>
          <w:sz w:val="28"/>
          <w:szCs w:val="28"/>
          <w:rtl/>
          <w:lang w:bidi="fa-IR"/>
        </w:rPr>
      </w:pPr>
      <w:r>
        <w:rPr>
          <w:rFonts w:cs="Abz-2 (Badr)" w:hint="cs"/>
          <w:sz w:val="28"/>
          <w:szCs w:val="28"/>
          <w:rtl/>
          <w:lang w:bidi="fa-IR"/>
        </w:rPr>
        <w:lastRenderedPageBreak/>
        <w:t>شهيد ثانی می</w:t>
      </w:r>
      <w:r>
        <w:rPr>
          <w:rFonts w:cs="Abz-2 (Badr)" w:hint="cs"/>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 xml:space="preserve">إنّما اشترط إسلام الشفيع مع كون المشتري مسلماً لأنّ الشفيع إنّما يأخذ من المشتري ودركه عليه كما سيأتي، وأخذه منه على وجه القهر سبيل على المسلم، وهو منفيّ‌ بقوله تعالى: </w:t>
      </w:r>
      <w:r>
        <w:rPr>
          <w:rFonts w:cs="QuranTaha" w:hint="cs"/>
          <w:color w:val="BF8F00" w:themeColor="accent4" w:themeShade="BF"/>
          <w:sz w:val="26"/>
          <w:szCs w:val="26"/>
          <w:rtl/>
          <w:lang w:bidi="ar"/>
        </w:rPr>
        <w:t>«وَلَنْ‌ يَجْعَلَ‌ اللّٰهُ‌ لِلْكٰافِرِينَ‌ عَلَى الْمُؤْمِنِينَ‌ سَبِيلاً»</w:t>
      </w:r>
      <w:r>
        <w:rPr>
          <w:rFonts w:cs="Abz-2 (Badr)"/>
          <w:sz w:val="28"/>
          <w:szCs w:val="28"/>
          <w:vertAlign w:val="superscript"/>
          <w:rtl/>
          <w:lang w:bidi="fa-IR"/>
        </w:rPr>
        <w:footnoteReference w:id="8"/>
      </w:r>
      <w:r>
        <w:rPr>
          <w:rFonts w:cs="Abz-2 (Badr)" w:hint="cs"/>
          <w:sz w:val="28"/>
          <w:szCs w:val="28"/>
          <w:rtl/>
          <w:lang w:bidi="fa-IR"/>
        </w:rPr>
        <w:t>.</w:t>
      </w:r>
    </w:p>
    <w:p w14:paraId="0397DEE9" w14:textId="77777777" w:rsidR="005220F4" w:rsidRDefault="005220F4" w:rsidP="005220F4">
      <w:pPr>
        <w:pStyle w:val="NormalWeb"/>
        <w:widowControl w:val="0"/>
        <w:bidi/>
        <w:spacing w:before="0" w:beforeAutospacing="0" w:after="0" w:afterAutospacing="0" w:line="252" w:lineRule="auto"/>
        <w:ind w:firstLine="284"/>
        <w:jc w:val="both"/>
        <w:rPr>
          <w:rFonts w:cs="Abz-2 (Badr)" w:hint="cs"/>
          <w:color w:val="0070C0"/>
          <w:sz w:val="28"/>
          <w:szCs w:val="28"/>
          <w:rtl/>
          <w:lang w:bidi="ar"/>
        </w:rPr>
      </w:pPr>
      <w:r>
        <w:rPr>
          <w:rFonts w:cs="Abz-2 (Badr)" w:hint="cs"/>
          <w:color w:val="0070C0"/>
          <w:sz w:val="28"/>
          <w:szCs w:val="28"/>
          <w:rtl/>
          <w:lang w:bidi="ar"/>
        </w:rPr>
        <w:t>ويؤيّده رواية السكوني: «ليس لليهودي‌ والنصراني‌ شفعة»</w:t>
      </w:r>
      <w:r>
        <w:rPr>
          <w:rFonts w:cs="Abz-2 (Badr)"/>
          <w:sz w:val="28"/>
          <w:szCs w:val="28"/>
          <w:vertAlign w:val="superscript"/>
          <w:rtl/>
          <w:lang w:bidi="ar"/>
        </w:rPr>
        <w:footnoteReference w:id="9"/>
      </w:r>
      <w:r>
        <w:rPr>
          <w:rFonts w:cs="Abz-2 (Badr)" w:hint="cs"/>
          <w:sz w:val="28"/>
          <w:szCs w:val="28"/>
          <w:rtl/>
          <w:lang w:bidi="ar"/>
        </w:rPr>
        <w:t xml:space="preserve"> </w:t>
      </w:r>
      <w:r>
        <w:rPr>
          <w:rFonts w:cs="Abz-2 (Badr)" w:hint="cs"/>
          <w:color w:val="0070C0"/>
          <w:sz w:val="28"/>
          <w:szCs w:val="28"/>
          <w:rtl/>
          <w:lang w:bidi="ar"/>
        </w:rPr>
        <w:t>وأراد به على المسلم، للإجماع على ثبوتها لهما على غيره.</w:t>
      </w:r>
    </w:p>
    <w:p w14:paraId="744F5533" w14:textId="77777777" w:rsidR="005220F4" w:rsidRDefault="005220F4" w:rsidP="005220F4">
      <w:pPr>
        <w:pStyle w:val="NormalWeb"/>
        <w:widowControl w:val="0"/>
        <w:bidi/>
        <w:spacing w:before="0" w:beforeAutospacing="0" w:after="0" w:afterAutospacing="0" w:line="252" w:lineRule="auto"/>
        <w:ind w:firstLine="284"/>
        <w:jc w:val="both"/>
        <w:rPr>
          <w:rFonts w:cs="Abz-2 (Badr)" w:hint="cs"/>
          <w:color w:val="0070C0"/>
          <w:sz w:val="28"/>
          <w:szCs w:val="28"/>
          <w:rtl/>
          <w:lang w:bidi="fa-IR"/>
        </w:rPr>
      </w:pPr>
      <w:r>
        <w:rPr>
          <w:rFonts w:cs="Abz-2 (Badr)" w:hint="cs"/>
          <w:color w:val="0070C0"/>
          <w:sz w:val="28"/>
          <w:szCs w:val="28"/>
          <w:rtl/>
          <w:lang w:bidi="ar"/>
        </w:rPr>
        <w:t>وكأنّه موضع وفاق، وإنّما خالف فيه جماعة من العامّة، فأثبتوها له عليه قياساً على الردّ بالعيب، والفرق واضح، مع بطلان القياس.</w:t>
      </w:r>
    </w:p>
    <w:p w14:paraId="22848D73" w14:textId="77777777" w:rsidR="005220F4" w:rsidRDefault="005220F4" w:rsidP="005220F4">
      <w:pPr>
        <w:pStyle w:val="NormalWeb"/>
        <w:widowControl w:val="0"/>
        <w:bidi/>
        <w:spacing w:before="0" w:beforeAutospacing="0" w:after="0" w:afterAutospacing="0" w:line="252" w:lineRule="auto"/>
        <w:ind w:firstLine="284"/>
        <w:jc w:val="both"/>
        <w:rPr>
          <w:rFonts w:cs="Abz-2 (Badr)"/>
          <w:sz w:val="28"/>
          <w:szCs w:val="28"/>
          <w:lang w:bidi="fa-IR"/>
        </w:rPr>
      </w:pPr>
      <w:r>
        <w:rPr>
          <w:rFonts w:cs="Abz-2 (Badr)" w:hint="cs"/>
          <w:color w:val="0070C0"/>
          <w:sz w:val="28"/>
          <w:szCs w:val="28"/>
          <w:rtl/>
          <w:lang w:bidi="ar"/>
        </w:rPr>
        <w:t>ولا فرق بين كون البائع مسلماً أو كافراً. ولو لم يكن المشتري مسلماً لم يشترط إسلام الشفيع وإن كان البائع مسلماً.»</w:t>
      </w:r>
      <w:r>
        <w:rPr>
          <w:rStyle w:val="FootnoteReference"/>
          <w:rFonts w:cs="Abz-2 (Badr)"/>
          <w:rtl/>
          <w:lang w:bidi="ar"/>
        </w:rPr>
        <w:footnoteReference w:id="10"/>
      </w:r>
    </w:p>
    <w:p w14:paraId="52333B6F" w14:textId="77777777" w:rsidR="005220F4" w:rsidRDefault="005220F4" w:rsidP="005220F4">
      <w:pPr>
        <w:pStyle w:val="NormalWeb"/>
        <w:widowControl w:val="0"/>
        <w:bidi/>
        <w:spacing w:before="0" w:beforeAutospacing="0" w:after="0" w:afterAutospacing="0" w:line="252" w:lineRule="auto"/>
        <w:ind w:firstLine="284"/>
        <w:jc w:val="both"/>
        <w:rPr>
          <w:rFonts w:cs="Abz-2 (Badr)" w:hint="cs"/>
          <w:color w:val="00B0F0"/>
          <w:sz w:val="28"/>
          <w:szCs w:val="28"/>
          <w:rtl/>
          <w:lang w:bidi="fa-IR"/>
        </w:rPr>
      </w:pPr>
      <w:r>
        <w:rPr>
          <w:rFonts w:cs="Abz-2 (Badr)" w:hint="cs"/>
          <w:sz w:val="28"/>
          <w:szCs w:val="28"/>
          <w:rtl/>
          <w:lang w:bidi="fa-IR"/>
        </w:rPr>
        <w:t xml:space="preserve">همچنان که اولويت مستفاد از ادله رقّيّت نيز قابل پذيرش است، خصوصاً با توجه به برخی از اخبار که دلالت بر اين دارند که اهل کتاب مملوک امام هستند؛ مثل حسنه ابی بصير از امام باقر(ع) که در آن آمده است: </w:t>
      </w:r>
      <w:r>
        <w:rPr>
          <w:rFonts w:cs="Abz-2 (Badr)" w:hint="cs"/>
          <w:color w:val="00B0F0"/>
          <w:sz w:val="28"/>
          <w:szCs w:val="28"/>
          <w:rtl/>
          <w:lang w:bidi="fa-IR"/>
        </w:rPr>
        <w:t>«...إنّ أهل الکتاب مماليك للإمام...»</w:t>
      </w:r>
      <w:r>
        <w:rPr>
          <w:rStyle w:val="FootnoteReference"/>
          <w:rFonts w:cs="Abz-2 (Badr)"/>
          <w:sz w:val="28"/>
          <w:szCs w:val="28"/>
          <w:rtl/>
          <w:lang w:bidi="ar"/>
        </w:rPr>
        <w:footnoteReference w:id="11"/>
      </w:r>
    </w:p>
    <w:p w14:paraId="127BF62E" w14:textId="77777777" w:rsidR="005220F4" w:rsidRDefault="005220F4" w:rsidP="005220F4">
      <w:pPr>
        <w:pStyle w:val="NormalWeb"/>
        <w:widowControl w:val="0"/>
        <w:bidi/>
        <w:spacing w:before="0" w:beforeAutospacing="0" w:after="0" w:afterAutospacing="0" w:line="256" w:lineRule="auto"/>
        <w:ind w:firstLine="284"/>
        <w:jc w:val="both"/>
        <w:rPr>
          <w:rFonts w:cs="Abz-2 (Badr)" w:hint="cs"/>
          <w:sz w:val="28"/>
          <w:szCs w:val="28"/>
          <w:rtl/>
          <w:lang w:bidi="fa-IR"/>
        </w:rPr>
      </w:pPr>
      <w:r>
        <w:rPr>
          <w:rFonts w:cs="Abz-2 (Badr)" w:hint="cs"/>
          <w:sz w:val="28"/>
          <w:szCs w:val="28"/>
          <w:rtl/>
          <w:lang w:bidi="fa-IR"/>
        </w:rPr>
        <w:t>و چنانچه اهل کتاب در حکم عبد و امه باشند، غير آنان به طريق اولی اين گونه هستند.</w:t>
      </w:r>
    </w:p>
    <w:p w14:paraId="38A008EB" w14:textId="77777777" w:rsidR="005220F4" w:rsidRDefault="005220F4" w:rsidP="005220F4">
      <w:pPr>
        <w:pStyle w:val="NormalWeb"/>
        <w:widowControl w:val="0"/>
        <w:bidi/>
        <w:spacing w:before="0" w:beforeAutospacing="0" w:after="0" w:afterAutospacing="0" w:line="256" w:lineRule="auto"/>
        <w:ind w:firstLine="284"/>
        <w:jc w:val="both"/>
        <w:rPr>
          <w:rFonts w:cs="Abz-2 (Badr)" w:hint="cs"/>
          <w:sz w:val="28"/>
          <w:szCs w:val="28"/>
          <w:rtl/>
          <w:lang w:bidi="fa-IR"/>
        </w:rPr>
      </w:pPr>
      <w:r>
        <w:rPr>
          <w:rFonts w:cs="Abz-2 (Badr)" w:hint="cs"/>
          <w:sz w:val="28"/>
          <w:szCs w:val="28"/>
          <w:rtl/>
          <w:lang w:bidi="fa-IR"/>
        </w:rPr>
        <w:t>علاوه بر اين که اعتبار نيز مؤيّد اين مطلب است، زيرا سپردن فرزند به کسی که کافر است، قطعاً در تربيت او تأثير خواهد گذاشت و می</w:t>
      </w:r>
      <w:r>
        <w:rPr>
          <w:rFonts w:cs="Abz-2 (Badr)" w:hint="cs"/>
          <w:sz w:val="28"/>
          <w:szCs w:val="28"/>
          <w:rtl/>
          <w:lang w:bidi="fa-IR"/>
        </w:rPr>
        <w:softHyphen/>
        <w:t>توان اطمينان به عدم رضايت شارع به آن پيدا نمود؛ فلذا بعيد نيست گفته شود که حتّی در صورتی که فرزندی که يکی از عمودين او حين انعقاد نطفه يا تولد وی ـ بنابر اختلافی که در اين خصوص وجود دارد ـ مسلمان بوده</w:t>
      </w:r>
      <w:r>
        <w:rPr>
          <w:rFonts w:cs="Abz-2 (Badr)" w:hint="cs"/>
          <w:sz w:val="28"/>
          <w:szCs w:val="28"/>
          <w:rtl/>
          <w:lang w:bidi="fa-IR"/>
        </w:rPr>
        <w:softHyphen/>
        <w:t>اند، مادر نداشته باشد و پدر او نيز کافر باشد، حاکم شرع از باب ولايت، بايد شرائط حضانت او را در نزد مسلمين تأمين نمايد و چنين فرزندی نبايد در نزد پدر خود بماند.</w:t>
      </w:r>
      <w:bookmarkEnd w:id="0"/>
      <w:bookmarkEnd w:id="1"/>
    </w:p>
    <w:p w14:paraId="358854CE" w14:textId="2276C044" w:rsidR="0027088A" w:rsidRPr="005220F4" w:rsidRDefault="0027088A" w:rsidP="005220F4"/>
    <w:sectPr w:rsidR="0027088A" w:rsidRPr="005220F4" w:rsidSect="005A14A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5B308" w14:textId="77777777" w:rsidR="00FA009D" w:rsidRDefault="00FA009D" w:rsidP="00F71127">
      <w:pPr>
        <w:spacing w:after="0" w:line="240" w:lineRule="auto"/>
      </w:pPr>
      <w:r>
        <w:separator/>
      </w:r>
    </w:p>
  </w:endnote>
  <w:endnote w:type="continuationSeparator" w:id="0">
    <w:p w14:paraId="175A3F70" w14:textId="77777777" w:rsidR="00FA009D" w:rsidRDefault="00FA009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0900D" w14:textId="77777777" w:rsidR="00654038" w:rsidRDefault="006540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0B76E" w14:textId="77777777" w:rsidR="00654038" w:rsidRDefault="00654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D2565" w14:textId="77777777" w:rsidR="00FA009D" w:rsidRDefault="00FA009D" w:rsidP="00EE25C0">
      <w:pPr>
        <w:bidi/>
        <w:spacing w:after="0" w:line="240" w:lineRule="auto"/>
      </w:pPr>
      <w:r>
        <w:separator/>
      </w:r>
    </w:p>
  </w:footnote>
  <w:footnote w:type="continuationSeparator" w:id="0">
    <w:p w14:paraId="1A362541" w14:textId="77777777" w:rsidR="00FA009D" w:rsidRDefault="00FA009D" w:rsidP="00F71127">
      <w:pPr>
        <w:bidi/>
        <w:spacing w:after="0" w:line="240" w:lineRule="auto"/>
      </w:pPr>
      <w:r>
        <w:continuationSeparator/>
      </w:r>
    </w:p>
  </w:footnote>
  <w:footnote w:id="1">
    <w:p w14:paraId="6E8300C6" w14:textId="77777777" w:rsidR="005220F4" w:rsidRDefault="005220F4" w:rsidP="005220F4">
      <w:pPr>
        <w:widowControl w:val="0"/>
        <w:bidi/>
        <w:spacing w:after="0" w:line="240" w:lineRule="auto"/>
        <w:rPr>
          <w:rFonts w:cs="Abz-2 (Badr)" w:hint="cs"/>
          <w:sz w:val="20"/>
          <w:szCs w:val="20"/>
          <w:rtl/>
          <w:lang w:bidi="fa-IR"/>
        </w:rPr>
      </w:pPr>
      <w:r>
        <w:rPr>
          <w:rStyle w:val="FootnoteReference"/>
          <w:rFonts w:cs="Abz-2 (Badr)"/>
          <w:sz w:val="20"/>
          <w:szCs w:val="20"/>
        </w:rPr>
        <w:footnoteRef/>
      </w:r>
      <w:r>
        <w:rPr>
          <w:rFonts w:cs="Abz-2 (Badr)"/>
          <w:sz w:val="20"/>
          <w:szCs w:val="20"/>
        </w:rPr>
        <w:t xml:space="preserve"> </w:t>
      </w:r>
      <w:r>
        <w:rPr>
          <w:rFonts w:cs="Abz-2 (Badr)" w:hint="cs"/>
          <w:sz w:val="20"/>
          <w:szCs w:val="20"/>
          <w:rtl/>
        </w:rPr>
        <w:t>ـ رياض،ج12،ص159.</w:t>
      </w:r>
    </w:p>
  </w:footnote>
  <w:footnote w:id="2">
    <w:p w14:paraId="32C1B13A" w14:textId="77777777" w:rsidR="005220F4" w:rsidRDefault="005220F4" w:rsidP="005220F4">
      <w:pPr>
        <w:pStyle w:val="FootnoteText"/>
        <w:widowControl w:val="0"/>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کافی،ج6،ص45،ح3 ـ وسائل،ج21،ص471،ح27614.</w:t>
      </w:r>
    </w:p>
  </w:footnote>
  <w:footnote w:id="3">
    <w:p w14:paraId="4BB8DD4E" w14:textId="77777777" w:rsidR="005220F4" w:rsidRDefault="005220F4" w:rsidP="005220F4">
      <w:pPr>
        <w:pStyle w:val="FootnoteText"/>
        <w:widowControl w:val="0"/>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کافی،ج6،ص45 و 46،ح5 ـ وسائل،ج21،ص459،ح27577.</w:t>
      </w:r>
    </w:p>
  </w:footnote>
  <w:footnote w:id="4">
    <w:p w14:paraId="0E0ECE02" w14:textId="77777777" w:rsidR="005220F4" w:rsidRDefault="005220F4" w:rsidP="005220F4">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کافی،ج6،ص45 و 46،ح5 ـ وسائل،ج21،ص459،ح27577.</w:t>
      </w:r>
    </w:p>
  </w:footnote>
  <w:footnote w:id="5">
    <w:p w14:paraId="6901DFF1" w14:textId="77777777" w:rsidR="005220F4" w:rsidRDefault="005220F4" w:rsidP="005220F4">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فقيه،ج3،ص435،ح4503 ـ وسائل،ج21،ص459،ح27576.</w:t>
      </w:r>
    </w:p>
  </w:footnote>
  <w:footnote w:id="6">
    <w:p w14:paraId="07F909C1" w14:textId="77777777" w:rsidR="005220F4" w:rsidRDefault="005220F4" w:rsidP="005220F4">
      <w:pPr>
        <w:widowControl w:val="0"/>
        <w:bidi/>
        <w:spacing w:after="0" w:line="240" w:lineRule="auto"/>
        <w:rPr>
          <w:rFonts w:cs="Abz-2 (Badr)" w:hint="cs"/>
          <w:sz w:val="20"/>
          <w:szCs w:val="20"/>
          <w:rtl/>
          <w:lang w:bidi="fa-IR"/>
        </w:rPr>
      </w:pPr>
      <w:r>
        <w:rPr>
          <w:rStyle w:val="FootnoteReference"/>
          <w:rFonts w:cs="Abz-2 (Badr)"/>
          <w:sz w:val="20"/>
          <w:szCs w:val="20"/>
        </w:rPr>
        <w:footnoteRef/>
      </w:r>
      <w:r>
        <w:rPr>
          <w:rFonts w:cs="Abz-2 (Badr)"/>
          <w:sz w:val="20"/>
          <w:szCs w:val="20"/>
        </w:rPr>
        <w:t xml:space="preserve"> </w:t>
      </w:r>
      <w:r>
        <w:rPr>
          <w:rFonts w:cs="Abz-2 (Badr)" w:hint="cs"/>
          <w:sz w:val="20"/>
          <w:szCs w:val="20"/>
          <w:rtl/>
        </w:rPr>
        <w:t>ـ مسالك،ج8،ص428.</w:t>
      </w:r>
    </w:p>
  </w:footnote>
  <w:footnote w:id="7">
    <w:p w14:paraId="77F7E57C" w14:textId="77777777" w:rsidR="005220F4" w:rsidRDefault="005220F4" w:rsidP="005220F4">
      <w:pPr>
        <w:widowControl w:val="0"/>
        <w:bidi/>
        <w:spacing w:after="0" w:line="240" w:lineRule="auto"/>
        <w:rPr>
          <w:rFonts w:cs="Abz-2 (Badr)" w:hint="cs"/>
          <w:sz w:val="20"/>
          <w:szCs w:val="20"/>
          <w:rtl/>
          <w:lang w:bidi="fa-IR"/>
        </w:rPr>
      </w:pPr>
      <w:r>
        <w:rPr>
          <w:rStyle w:val="FootnoteReference"/>
          <w:rFonts w:cs="Abz-2 (Badr)"/>
          <w:sz w:val="20"/>
          <w:szCs w:val="20"/>
        </w:rPr>
        <w:footnoteRef/>
      </w:r>
      <w:r>
        <w:rPr>
          <w:rFonts w:cs="Abz-2 (Badr)"/>
          <w:sz w:val="20"/>
          <w:szCs w:val="20"/>
        </w:rPr>
        <w:t xml:space="preserve"> </w:t>
      </w:r>
      <w:r>
        <w:rPr>
          <w:rFonts w:cs="Abz-2 (Badr)" w:hint="cs"/>
          <w:sz w:val="20"/>
          <w:szCs w:val="20"/>
          <w:rtl/>
        </w:rPr>
        <w:t>ـ جواهر،ج31،ص294.</w:t>
      </w:r>
    </w:p>
  </w:footnote>
  <w:footnote w:id="8">
    <w:p w14:paraId="7C2BC4F9" w14:textId="77777777" w:rsidR="005220F4" w:rsidRDefault="005220F4" w:rsidP="005220F4">
      <w:pPr>
        <w:widowControl w:val="0"/>
        <w:bidi/>
        <w:spacing w:after="0" w:line="240" w:lineRule="auto"/>
        <w:rPr>
          <w:rFonts w:cs="Abz-2 (Badr)" w:hint="cs"/>
          <w:sz w:val="20"/>
          <w:szCs w:val="20"/>
          <w:rtl/>
        </w:rPr>
      </w:pPr>
      <w:r>
        <w:rPr>
          <w:rFonts w:cs="Abz-2 (Badr)"/>
          <w:sz w:val="20"/>
          <w:szCs w:val="20"/>
        </w:rPr>
        <w:footnoteRef/>
      </w:r>
      <w:r>
        <w:rPr>
          <w:rFonts w:cs="Abz-2 (Badr)" w:hint="cs"/>
          <w:sz w:val="20"/>
          <w:szCs w:val="20"/>
          <w:rtl/>
        </w:rPr>
        <w:t xml:space="preserve"> ـ نساء(4):١٤١. </w:t>
      </w:r>
    </w:p>
  </w:footnote>
  <w:footnote w:id="9">
    <w:p w14:paraId="36307945" w14:textId="77777777" w:rsidR="005220F4" w:rsidRDefault="005220F4" w:rsidP="005220F4">
      <w:pPr>
        <w:widowControl w:val="0"/>
        <w:bidi/>
        <w:spacing w:after="0" w:line="240" w:lineRule="auto"/>
        <w:rPr>
          <w:rFonts w:cs="Abz-2 (Badr)" w:hint="cs"/>
          <w:sz w:val="20"/>
          <w:szCs w:val="20"/>
          <w:rtl/>
        </w:rPr>
      </w:pPr>
      <w:r>
        <w:rPr>
          <w:rFonts w:cs="Abz-2 (Badr)"/>
          <w:sz w:val="20"/>
          <w:szCs w:val="20"/>
        </w:rPr>
        <w:footnoteRef/>
      </w:r>
      <w:r>
        <w:rPr>
          <w:rFonts w:cs="Abz-2 (Badr)" w:hint="cs"/>
          <w:sz w:val="20"/>
          <w:szCs w:val="20"/>
          <w:rtl/>
        </w:rPr>
        <w:t xml:space="preserve"> ـ كافی،ج5،ص281،ح6 ـ وسائل،ج25،ص401،ح32221. </w:t>
      </w:r>
    </w:p>
  </w:footnote>
  <w:footnote w:id="10">
    <w:p w14:paraId="7CA92CCC" w14:textId="77777777" w:rsidR="005220F4" w:rsidRDefault="005220F4" w:rsidP="005220F4">
      <w:pPr>
        <w:widowControl w:val="0"/>
        <w:bidi/>
        <w:spacing w:after="0" w:line="240" w:lineRule="auto"/>
        <w:rPr>
          <w:rFonts w:cs="Abz-2 (Badr)" w:hint="cs"/>
          <w:sz w:val="20"/>
          <w:szCs w:val="20"/>
          <w:rtl/>
          <w:lang w:bidi="fa-IR"/>
        </w:rPr>
      </w:pPr>
      <w:r>
        <w:rPr>
          <w:rStyle w:val="FootnoteReference"/>
          <w:rFonts w:cs="Abz-2 (Badr)"/>
          <w:sz w:val="20"/>
          <w:szCs w:val="20"/>
        </w:rPr>
        <w:footnoteRef/>
      </w:r>
      <w:r>
        <w:rPr>
          <w:rFonts w:cs="Abz-2 (Badr)"/>
          <w:sz w:val="20"/>
          <w:szCs w:val="20"/>
        </w:rPr>
        <w:t xml:space="preserve"> </w:t>
      </w:r>
      <w:r>
        <w:rPr>
          <w:rFonts w:cs="Abz-2 (Badr)" w:hint="cs"/>
          <w:sz w:val="20"/>
          <w:szCs w:val="20"/>
          <w:rtl/>
        </w:rPr>
        <w:t>ـ مسالك،ج12،ص278.</w:t>
      </w:r>
    </w:p>
  </w:footnote>
  <w:footnote w:id="11">
    <w:p w14:paraId="01287B0F" w14:textId="77777777" w:rsidR="005220F4" w:rsidRDefault="005220F4" w:rsidP="005220F4">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کافی،ج5،ص358 و 359،ح11 ـ وسائل،ج20،ص545 و 546،ح26305.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6D90" w14:textId="77777777" w:rsidR="00654038" w:rsidRDefault="006540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12883B99">
              <wp:simplePos x="0" y="0"/>
              <wp:positionH relativeFrom="column">
                <wp:posOffset>1652270</wp:posOffset>
              </wp:positionH>
              <wp:positionV relativeFrom="paragraph">
                <wp:posOffset>180975</wp:posOffset>
              </wp:positionV>
              <wp:extent cx="4427220" cy="20097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7220" cy="200977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2B4DFFFB" w:rsidR="005D7224" w:rsidRDefault="005D7224" w:rsidP="005D7224">
                          <w:pPr>
                            <w:bidi/>
                          </w:pPr>
                          <w:r>
                            <w:rPr>
                              <w:rFonts w:cs="B Mehr" w:hint="cs"/>
                              <w:rtl/>
                            </w:rPr>
                            <w:t xml:space="preserve">تاریخ: </w:t>
                          </w:r>
                          <w:r>
                            <w:rPr>
                              <w:rFonts w:cs="B Mehr" w:hint="cs"/>
                              <w:lang w:bidi="fa-IR"/>
                            </w:rPr>
                            <w:t xml:space="preserve"> </w:t>
                          </w:r>
                          <w:r>
                            <w:rPr>
                              <w:rFonts w:cs="B Mehr" w:hint="cs"/>
                              <w:rtl/>
                              <w:lang w:bidi="fa-IR"/>
                            </w:rPr>
                            <w:t xml:space="preserve"> </w:t>
                          </w:r>
                          <w:r w:rsidR="005220F4">
                            <w:rPr>
                              <w:rFonts w:cs="B Mehr" w:hint="cs"/>
                              <w:rtl/>
                              <w:lang w:bidi="fa-IR"/>
                            </w:rPr>
                            <w:t xml:space="preserve">سه </w:t>
                          </w:r>
                          <w:r w:rsidR="00615E80">
                            <w:rPr>
                              <w:rFonts w:cs="B Mehr" w:hint="cs"/>
                              <w:rtl/>
                              <w:lang w:bidi="fa-IR"/>
                            </w:rPr>
                            <w:t>شنبه</w:t>
                          </w:r>
                          <w:r>
                            <w:rPr>
                              <w:rFonts w:cs="B Mehr" w:hint="cs"/>
                              <w:rtl/>
                              <w:lang w:bidi="fa-IR"/>
                            </w:rPr>
                            <w:t xml:space="preserve"> </w:t>
                          </w:r>
                          <w:r>
                            <w:rPr>
                              <w:rFonts w:cs="B Mehr" w:hint="cs"/>
                              <w:rtl/>
                            </w:rPr>
                            <w:t xml:space="preserve">،   </w:t>
                          </w:r>
                          <w:r w:rsidR="00654038">
                            <w:rPr>
                              <w:rFonts w:cs="B Mehr" w:hint="cs"/>
                              <w:rtl/>
                            </w:rPr>
                            <w:t>0</w:t>
                          </w:r>
                          <w:r w:rsidR="005220F4">
                            <w:rPr>
                              <w:rFonts w:cs="B Mehr" w:hint="cs"/>
                              <w:rtl/>
                            </w:rPr>
                            <w:t>9</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30.1pt;margin-top:14.25pt;width:348.6pt;height:15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2B4DFFFB" w:rsidR="005D7224" w:rsidRDefault="005D7224" w:rsidP="005D7224">
                    <w:pPr>
                      <w:bidi/>
                    </w:pPr>
                    <w:r>
                      <w:rPr>
                        <w:rFonts w:cs="B Mehr" w:hint="cs"/>
                        <w:rtl/>
                      </w:rPr>
                      <w:t xml:space="preserve">تاریخ: </w:t>
                    </w:r>
                    <w:r>
                      <w:rPr>
                        <w:rFonts w:cs="B Mehr" w:hint="cs"/>
                        <w:lang w:bidi="fa-IR"/>
                      </w:rPr>
                      <w:t xml:space="preserve"> </w:t>
                    </w:r>
                    <w:r>
                      <w:rPr>
                        <w:rFonts w:cs="B Mehr" w:hint="cs"/>
                        <w:rtl/>
                        <w:lang w:bidi="fa-IR"/>
                      </w:rPr>
                      <w:t xml:space="preserve"> </w:t>
                    </w:r>
                    <w:r w:rsidR="005220F4">
                      <w:rPr>
                        <w:rFonts w:cs="B Mehr" w:hint="cs"/>
                        <w:rtl/>
                        <w:lang w:bidi="fa-IR"/>
                      </w:rPr>
                      <w:t xml:space="preserve">سه </w:t>
                    </w:r>
                    <w:r w:rsidR="00615E80">
                      <w:rPr>
                        <w:rFonts w:cs="B Mehr" w:hint="cs"/>
                        <w:rtl/>
                        <w:lang w:bidi="fa-IR"/>
                      </w:rPr>
                      <w:t>شنبه</w:t>
                    </w:r>
                    <w:r>
                      <w:rPr>
                        <w:rFonts w:cs="B Mehr" w:hint="cs"/>
                        <w:rtl/>
                        <w:lang w:bidi="fa-IR"/>
                      </w:rPr>
                      <w:t xml:space="preserve"> </w:t>
                    </w:r>
                    <w:r>
                      <w:rPr>
                        <w:rFonts w:cs="B Mehr" w:hint="cs"/>
                        <w:rtl/>
                      </w:rPr>
                      <w:t xml:space="preserve">،   </w:t>
                    </w:r>
                    <w:r w:rsidR="00654038">
                      <w:rPr>
                        <w:rFonts w:cs="B Mehr" w:hint="cs"/>
                        <w:rtl/>
                      </w:rPr>
                      <w:t>0</w:t>
                    </w:r>
                    <w:r w:rsidR="005220F4">
                      <w:rPr>
                        <w:rFonts w:cs="B Mehr" w:hint="cs"/>
                        <w:rtl/>
                      </w:rPr>
                      <w:t>9</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F6F03" w14:textId="77777777" w:rsidR="00654038" w:rsidRDefault="006540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45A6"/>
    <w:rsid w:val="00554B94"/>
    <w:rsid w:val="00554D35"/>
    <w:rsid w:val="0055671F"/>
    <w:rsid w:val="00556729"/>
    <w:rsid w:val="00556776"/>
    <w:rsid w:val="005568E8"/>
    <w:rsid w:val="00557416"/>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1573"/>
    <w:rsid w:val="00681BD4"/>
    <w:rsid w:val="006835A9"/>
    <w:rsid w:val="00683E00"/>
    <w:rsid w:val="0068409B"/>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21717</TotalTime>
  <Pages>1</Pages>
  <Words>588</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548</cp:revision>
  <cp:lastPrinted>2025-04-14T09:12:00Z</cp:lastPrinted>
  <dcterms:created xsi:type="dcterms:W3CDTF">2022-10-16T08:36:00Z</dcterms:created>
  <dcterms:modified xsi:type="dcterms:W3CDTF">2025-04-29T07:14:00Z</dcterms:modified>
</cp:coreProperties>
</file>